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b/>
          <w:bCs/>
          <w:sz w:val="32"/>
          <w:szCs w:val="32"/>
          <w:lang w:eastAsia="zh-CN"/>
        </w:rPr>
      </w:pPr>
      <w:r>
        <w:rPr>
          <w:rFonts w:hint="eastAsia"/>
          <w:b/>
          <w:bCs/>
          <w:sz w:val="32"/>
          <w:szCs w:val="32"/>
        </w:rPr>
        <w:t>海南师范大学学报（自然科学版）</w:t>
      </w:r>
    </w:p>
    <w:p>
      <w:pPr>
        <w:jc w:val="center"/>
        <w:rPr>
          <w:b/>
          <w:bCs/>
          <w:sz w:val="32"/>
          <w:szCs w:val="32"/>
        </w:rPr>
      </w:pPr>
      <w:r>
        <w:rPr>
          <w:rFonts w:hint="eastAsia"/>
          <w:b/>
          <w:bCs/>
          <w:sz w:val="32"/>
          <w:szCs w:val="32"/>
        </w:rPr>
        <w:t>签约作者学术成果发表流程</w:t>
      </w:r>
    </w:p>
    <w:p>
      <w:pPr>
        <w:ind w:firstLine="560" w:firstLineChars="200"/>
        <w:jc w:val="left"/>
        <w:rPr>
          <w:bCs/>
          <w:color w:val="000000" w:themeColor="text1"/>
          <w:sz w:val="28"/>
          <w:szCs w:val="28"/>
          <w14:textFill>
            <w14:solidFill>
              <w14:schemeClr w14:val="tx1"/>
            </w14:solidFill>
          </w14:textFill>
        </w:rPr>
      </w:pPr>
      <w:r>
        <w:rPr>
          <w:rFonts w:hint="eastAsia"/>
          <w:bCs/>
          <w:color w:val="000000" w:themeColor="text1"/>
          <w:sz w:val="28"/>
          <w:szCs w:val="28"/>
          <w14:textFill>
            <w14:solidFill>
              <w14:schemeClr w14:val="tx1"/>
            </w14:solidFill>
          </w14:textFill>
        </w:rPr>
        <w:t>学术期刊是</w:t>
      </w:r>
      <w:r>
        <w:rPr>
          <w:bCs/>
          <w:color w:val="000000" w:themeColor="text1"/>
          <w:sz w:val="28"/>
          <w:szCs w:val="28"/>
          <w14:textFill>
            <w14:solidFill>
              <w14:schemeClr w14:val="tx1"/>
            </w14:solidFill>
          </w14:textFill>
        </w:rPr>
        <w:t>学术</w:t>
      </w:r>
      <w:r>
        <w:rPr>
          <w:rFonts w:hint="eastAsia"/>
          <w:bCs/>
          <w:color w:val="000000" w:themeColor="text1"/>
          <w:sz w:val="28"/>
          <w:szCs w:val="28"/>
          <w14:textFill>
            <w14:solidFill>
              <w14:schemeClr w14:val="tx1"/>
            </w14:solidFill>
          </w14:textFill>
        </w:rPr>
        <w:t>成果</w:t>
      </w:r>
      <w:r>
        <w:rPr>
          <w:bCs/>
          <w:color w:val="000000" w:themeColor="text1"/>
          <w:sz w:val="28"/>
          <w:szCs w:val="28"/>
          <w14:textFill>
            <w14:solidFill>
              <w14:schemeClr w14:val="tx1"/>
            </w14:solidFill>
          </w14:textFill>
        </w:rPr>
        <w:t>评价体系的</w:t>
      </w:r>
      <w:r>
        <w:rPr>
          <w:rFonts w:hint="eastAsia"/>
          <w:bCs/>
          <w:color w:val="000000" w:themeColor="text1"/>
          <w:sz w:val="28"/>
          <w:szCs w:val="28"/>
          <w14:textFill>
            <w14:solidFill>
              <w14:schemeClr w14:val="tx1"/>
            </w14:solidFill>
          </w14:textFill>
        </w:rPr>
        <w:t>一个</w:t>
      </w:r>
      <w:r>
        <w:rPr>
          <w:bCs/>
          <w:color w:val="000000" w:themeColor="text1"/>
          <w:sz w:val="28"/>
          <w:szCs w:val="28"/>
          <w14:textFill>
            <w14:solidFill>
              <w14:schemeClr w14:val="tx1"/>
            </w14:solidFill>
          </w14:textFill>
        </w:rPr>
        <w:t>重要组成</w:t>
      </w:r>
      <w:r>
        <w:rPr>
          <w:rFonts w:hint="eastAsia"/>
          <w:bCs/>
          <w:color w:val="000000" w:themeColor="text1"/>
          <w:sz w:val="28"/>
          <w:szCs w:val="28"/>
          <w14:textFill>
            <w14:solidFill>
              <w14:schemeClr w14:val="tx1"/>
            </w14:solidFill>
          </w14:textFill>
        </w:rPr>
        <w:t>部分。为了</w:t>
      </w:r>
      <w:r>
        <w:rPr>
          <w:bCs/>
          <w:color w:val="000000" w:themeColor="text1"/>
          <w:sz w:val="28"/>
          <w:szCs w:val="28"/>
          <w14:textFill>
            <w14:solidFill>
              <w14:schemeClr w14:val="tx1"/>
            </w14:solidFill>
          </w14:textFill>
        </w:rPr>
        <w:t>让学术期刊回归</w:t>
      </w:r>
      <w:r>
        <w:rPr>
          <w:rFonts w:hint="eastAsia"/>
          <w:bCs/>
          <w:color w:val="000000" w:themeColor="text1"/>
          <w:sz w:val="28"/>
          <w:szCs w:val="28"/>
          <w14:textFill>
            <w14:solidFill>
              <w14:schemeClr w14:val="tx1"/>
            </w14:solidFill>
          </w14:textFill>
        </w:rPr>
        <w:t>服务学术交流</w:t>
      </w:r>
      <w:r>
        <w:rPr>
          <w:rFonts w:hint="eastAsia"/>
          <w:bCs/>
          <w:color w:val="000000" w:themeColor="text1"/>
          <w:sz w:val="28"/>
          <w:szCs w:val="28"/>
          <w:lang w:eastAsia="zh-CN"/>
          <w14:textFill>
            <w14:solidFill>
              <w14:schemeClr w14:val="tx1"/>
            </w14:solidFill>
          </w14:textFill>
        </w:rPr>
        <w:t>、</w:t>
      </w:r>
      <w:r>
        <w:rPr>
          <w:bCs/>
          <w:color w:val="000000" w:themeColor="text1"/>
          <w:sz w:val="28"/>
          <w:szCs w:val="28"/>
          <w14:textFill>
            <w14:solidFill>
              <w14:schemeClr w14:val="tx1"/>
            </w14:solidFill>
          </w14:textFill>
        </w:rPr>
        <w:t>引领学术</w:t>
      </w:r>
      <w:r>
        <w:rPr>
          <w:rFonts w:hint="eastAsia"/>
          <w:bCs/>
          <w:color w:val="000000" w:themeColor="text1"/>
          <w:sz w:val="28"/>
          <w:szCs w:val="28"/>
          <w14:textFill>
            <w14:solidFill>
              <w14:schemeClr w14:val="tx1"/>
            </w14:solidFill>
          </w14:textFill>
        </w:rPr>
        <w:t>研究</w:t>
      </w:r>
      <w:r>
        <w:rPr>
          <w:bCs/>
          <w:color w:val="000000" w:themeColor="text1"/>
          <w:sz w:val="28"/>
          <w:szCs w:val="28"/>
          <w14:textFill>
            <w14:solidFill>
              <w14:schemeClr w14:val="tx1"/>
            </w14:solidFill>
          </w14:textFill>
        </w:rPr>
        <w:t>的本</w:t>
      </w:r>
      <w:r>
        <w:rPr>
          <w:rFonts w:hint="eastAsia"/>
          <w:bCs/>
          <w:color w:val="000000" w:themeColor="text1"/>
          <w:sz w:val="28"/>
          <w:szCs w:val="28"/>
          <w14:textFill>
            <w14:solidFill>
              <w14:schemeClr w14:val="tx1"/>
            </w14:solidFill>
          </w14:textFill>
        </w:rPr>
        <w:t>源，海南师范大学学报（自然科学版）特设立签约作者栏目。学者充分了解签约协议（见附件1）内容，自愿与学报签约成为签约作者。本栏目承诺优化学术评价及编辑出版流程，大力缩短发表周期，加快成果传播交流，为签约作者发表高水平学术成果提供快速优质服务。学术成果发表流程如下：</w:t>
      </w:r>
    </w:p>
    <w:p>
      <w:pPr>
        <w:numPr>
          <w:ilvl w:val="0"/>
          <w:numId w:val="1"/>
        </w:numPr>
        <w:rPr>
          <w:bCs/>
          <w:color w:val="000000" w:themeColor="text1"/>
          <w:sz w:val="28"/>
          <w:szCs w:val="28"/>
          <w14:textFill>
            <w14:solidFill>
              <w14:schemeClr w14:val="tx1"/>
            </w14:solidFill>
          </w14:textFill>
        </w:rPr>
      </w:pPr>
      <w:r>
        <w:rPr>
          <w:rFonts w:hint="eastAsia"/>
          <w:bCs/>
          <w:color w:val="000000" w:themeColor="text1"/>
          <w:sz w:val="28"/>
          <w:szCs w:val="28"/>
          <w14:textFill>
            <w14:solidFill>
              <w14:schemeClr w14:val="tx1"/>
            </w14:solidFill>
          </w14:textFill>
        </w:rPr>
        <w:t>登录海南师范大学学报（自然科学版）网站（</w:t>
      </w:r>
      <w:r>
        <w:fldChar w:fldCharType="begin"/>
      </w:r>
      <w:r>
        <w:instrText xml:space="preserve"> HYPERLINK "http://hsxblk.hainnu.edu.cn/ch/index.aspx" </w:instrText>
      </w:r>
      <w:r>
        <w:fldChar w:fldCharType="separate"/>
      </w:r>
      <w:r>
        <w:rPr>
          <w:rStyle w:val="6"/>
          <w:bCs/>
          <w:sz w:val="28"/>
          <w:szCs w:val="28"/>
        </w:rPr>
        <w:t>http://hsxblk.hainnu.edu.cn/ch/index.aspx</w:t>
      </w:r>
      <w:r>
        <w:rPr>
          <w:rStyle w:val="6"/>
          <w:bCs/>
          <w:sz w:val="28"/>
          <w:szCs w:val="28"/>
        </w:rPr>
        <w:fldChar w:fldCharType="end"/>
      </w:r>
      <w:r>
        <w:rPr>
          <w:rFonts w:hint="eastAsia"/>
          <w:bCs/>
          <w:color w:val="000000" w:themeColor="text1"/>
          <w:sz w:val="28"/>
          <w:szCs w:val="28"/>
          <w14:textFill>
            <w14:solidFill>
              <w14:schemeClr w14:val="tx1"/>
            </w14:solidFill>
          </w14:textFill>
        </w:rPr>
        <w:t>），认真阅读投稿指南。按照规定的格式和要求，撰写学术论文。</w:t>
      </w:r>
    </w:p>
    <w:p>
      <w:pPr>
        <w:numPr>
          <w:ilvl w:val="0"/>
          <w:numId w:val="1"/>
        </w:numPr>
        <w:rPr>
          <w:bCs/>
          <w:color w:val="000000" w:themeColor="text1"/>
          <w:sz w:val="28"/>
          <w:szCs w:val="28"/>
          <w14:textFill>
            <w14:solidFill>
              <w14:schemeClr w14:val="tx1"/>
            </w14:solidFill>
          </w14:textFill>
        </w:rPr>
      </w:pPr>
      <w:r>
        <w:rPr>
          <w:rFonts w:hint="eastAsia"/>
          <w:bCs/>
          <w:color w:val="000000" w:themeColor="text1"/>
          <w:sz w:val="28"/>
          <w:szCs w:val="28"/>
          <w14:textFill>
            <w14:solidFill>
              <w14:schemeClr w14:val="tx1"/>
            </w14:solidFill>
          </w14:textFill>
        </w:rPr>
        <w:t>签约作者第一次投稿时，需登录学报网站进行实名注册。</w:t>
      </w:r>
    </w:p>
    <w:p>
      <w:pPr>
        <w:numPr>
          <w:ilvl w:val="0"/>
          <w:numId w:val="1"/>
        </w:numPr>
        <w:rPr>
          <w:bCs/>
          <w:color w:val="000000" w:themeColor="text1"/>
          <w:sz w:val="28"/>
          <w:szCs w:val="28"/>
          <w14:textFill>
            <w14:solidFill>
              <w14:schemeClr w14:val="tx1"/>
            </w14:solidFill>
          </w14:textFill>
        </w:rPr>
      </w:pPr>
      <w:r>
        <w:rPr>
          <w:rFonts w:hint="eastAsia"/>
          <w:bCs/>
          <w:color w:val="000000" w:themeColor="text1"/>
          <w:sz w:val="28"/>
          <w:szCs w:val="28"/>
          <w14:textFill>
            <w14:solidFill>
              <w14:schemeClr w14:val="tx1"/>
            </w14:solidFill>
          </w14:textFill>
        </w:rPr>
        <w:t xml:space="preserve">本栏目编辑对投稿稿件进行形式审查。稿件存在以下情形之一者，编辑在附上具体审查意见之后予以退稿： </w:t>
      </w:r>
    </w:p>
    <w:p>
      <w:pPr>
        <w:spacing w:line="360" w:lineRule="auto"/>
        <w:ind w:firstLine="700" w:firstLineChars="250"/>
        <w:rPr>
          <w:rFonts w:asciiTheme="minorEastAsia" w:hAnsiTheme="minorEastAsia"/>
          <w:bCs/>
          <w:color w:val="000000" w:themeColor="text1"/>
          <w:sz w:val="28"/>
          <w:szCs w:val="28"/>
          <w14:textFill>
            <w14:solidFill>
              <w14:schemeClr w14:val="tx1"/>
            </w14:solidFill>
          </w14:textFill>
        </w:rPr>
      </w:pPr>
      <w:r>
        <w:rPr>
          <w:rFonts w:hint="eastAsia" w:asciiTheme="minorEastAsia" w:hAnsiTheme="minorEastAsia"/>
          <w:sz w:val="28"/>
          <w:szCs w:val="28"/>
        </w:rPr>
        <w:t>1）排版错乱严重，文字错误过多；</w:t>
      </w:r>
    </w:p>
    <w:p>
      <w:pPr>
        <w:spacing w:line="360" w:lineRule="auto"/>
        <w:ind w:firstLine="700" w:firstLineChars="250"/>
        <w:rPr>
          <w:rFonts w:asciiTheme="minorEastAsia" w:hAnsiTheme="minorEastAsia"/>
          <w:sz w:val="28"/>
          <w:szCs w:val="28"/>
        </w:rPr>
      </w:pPr>
      <w:r>
        <w:rPr>
          <w:rFonts w:hint="eastAsia" w:asciiTheme="minorEastAsia" w:hAnsiTheme="minorEastAsia"/>
          <w:sz w:val="28"/>
          <w:szCs w:val="28"/>
        </w:rPr>
        <w:t>2）附图、附表等严重失真；</w:t>
      </w:r>
    </w:p>
    <w:p>
      <w:pPr>
        <w:spacing w:line="360" w:lineRule="auto"/>
        <w:ind w:firstLine="700" w:firstLineChars="250"/>
        <w:rPr>
          <w:rFonts w:asciiTheme="minorEastAsia" w:hAnsiTheme="minorEastAsia"/>
          <w:sz w:val="28"/>
          <w:szCs w:val="28"/>
        </w:rPr>
      </w:pPr>
      <w:r>
        <w:rPr>
          <w:rFonts w:hint="eastAsia" w:asciiTheme="minorEastAsia" w:hAnsiTheme="minorEastAsia"/>
          <w:sz w:val="28"/>
          <w:szCs w:val="28"/>
        </w:rPr>
        <w:t>3）存在其他严重影响阅读的问题；</w:t>
      </w:r>
    </w:p>
    <w:p>
      <w:pPr>
        <w:tabs>
          <w:tab w:val="left" w:pos="312"/>
        </w:tabs>
        <w:ind w:firstLine="700" w:firstLineChars="250"/>
        <w:rPr>
          <w:rFonts w:asciiTheme="minorEastAsia" w:hAnsiTheme="minorEastAsia"/>
          <w:bCs/>
          <w:color w:val="000000" w:themeColor="text1"/>
          <w:sz w:val="28"/>
          <w:szCs w:val="28"/>
          <w14:textFill>
            <w14:solidFill>
              <w14:schemeClr w14:val="tx1"/>
            </w14:solidFill>
          </w14:textFill>
        </w:rPr>
      </w:pPr>
      <w:r>
        <w:rPr>
          <w:rFonts w:hint="eastAsia" w:asciiTheme="minorEastAsia" w:hAnsiTheme="minorEastAsia"/>
          <w:sz w:val="28"/>
          <w:szCs w:val="28"/>
        </w:rPr>
        <w:t>4）存在不适合公开发表的言论。</w:t>
      </w:r>
    </w:p>
    <w:p>
      <w:pPr>
        <w:tabs>
          <w:tab w:val="left" w:pos="312"/>
        </w:tabs>
        <w:rPr>
          <w:bCs/>
          <w:color w:val="000000" w:themeColor="text1"/>
          <w:sz w:val="28"/>
          <w:szCs w:val="28"/>
          <w14:textFill>
            <w14:solidFill>
              <w14:schemeClr w14:val="tx1"/>
            </w14:solidFill>
          </w14:textFill>
        </w:rPr>
      </w:pPr>
      <w:r>
        <w:rPr>
          <w:rFonts w:hint="eastAsia"/>
          <w:bCs/>
          <w:color w:val="000000" w:themeColor="text1"/>
          <w:sz w:val="28"/>
          <w:szCs w:val="28"/>
          <w14:textFill>
            <w14:solidFill>
              <w14:schemeClr w14:val="tx1"/>
            </w14:solidFill>
          </w14:textFill>
        </w:rPr>
        <w:t>4. 通过形式审查的稿件将送至本栏目专家学术委员会（名单见附件2）进行学术成果鉴定，重点关注学术成果的学术和参考价值。稿件存在以下情形之一者，予以退稿：</w:t>
      </w:r>
    </w:p>
    <w:p>
      <w:pPr>
        <w:tabs>
          <w:tab w:val="left" w:pos="312"/>
        </w:tabs>
        <w:ind w:firstLine="700" w:firstLineChars="250"/>
        <w:rPr>
          <w:bCs/>
          <w:color w:val="000000" w:themeColor="text1"/>
          <w:sz w:val="28"/>
          <w:szCs w:val="28"/>
          <w14:textFill>
            <w14:solidFill>
              <w14:schemeClr w14:val="tx1"/>
            </w14:solidFill>
          </w14:textFill>
        </w:rPr>
      </w:pPr>
      <w:r>
        <w:rPr>
          <w:rFonts w:hint="eastAsia"/>
          <w:sz w:val="28"/>
          <w:szCs w:val="28"/>
        </w:rPr>
        <w:t>1）存在严重违背学术道德与学术伦理的情况</w:t>
      </w:r>
      <w:r>
        <w:rPr>
          <w:rFonts w:hint="eastAsia" w:asciiTheme="minorEastAsia" w:hAnsiTheme="minorEastAsia"/>
          <w:sz w:val="28"/>
          <w:szCs w:val="28"/>
        </w:rPr>
        <w:t>；</w:t>
      </w:r>
    </w:p>
    <w:p>
      <w:pPr>
        <w:tabs>
          <w:tab w:val="left" w:pos="312"/>
        </w:tabs>
        <w:ind w:firstLine="700" w:firstLineChars="250"/>
        <w:rPr>
          <w:bCs/>
          <w:color w:val="000000" w:themeColor="text1"/>
          <w:sz w:val="28"/>
          <w:szCs w:val="28"/>
          <w14:textFill>
            <w14:solidFill>
              <w14:schemeClr w14:val="tx1"/>
            </w14:solidFill>
          </w14:textFill>
        </w:rPr>
      </w:pPr>
      <w:r>
        <w:rPr>
          <w:rFonts w:hint="eastAsia"/>
          <w:sz w:val="28"/>
          <w:szCs w:val="28"/>
        </w:rPr>
        <w:t>2）存在明显违背科学常识的情形。</w:t>
      </w:r>
    </w:p>
    <w:p>
      <w:pPr>
        <w:tabs>
          <w:tab w:val="left" w:pos="312"/>
        </w:tabs>
        <w:rPr>
          <w:bCs/>
          <w:color w:val="000000" w:themeColor="text1"/>
          <w:sz w:val="28"/>
          <w:szCs w:val="28"/>
          <w14:textFill>
            <w14:solidFill>
              <w14:schemeClr w14:val="tx1"/>
            </w14:solidFill>
          </w14:textFill>
        </w:rPr>
      </w:pPr>
      <w:r>
        <w:rPr>
          <w:rFonts w:hint="eastAsia"/>
          <w:bCs/>
          <w:color w:val="000000" w:themeColor="text1"/>
          <w:sz w:val="28"/>
          <w:szCs w:val="28"/>
          <w14:textFill>
            <w14:solidFill>
              <w14:schemeClr w14:val="tx1"/>
            </w14:solidFill>
          </w14:textFill>
        </w:rPr>
        <w:t>5.通过学术评价的稿件送给本学科编辑加工校对，主编终审后网络首发。</w:t>
      </w:r>
      <w:r>
        <w:rPr>
          <w:bCs/>
          <w:color w:val="000000" w:themeColor="text1"/>
          <w:sz w:val="28"/>
          <w:szCs w:val="28"/>
          <w14:textFill>
            <w14:solidFill>
              <w14:schemeClr w14:val="tx1"/>
            </w14:solidFill>
          </w14:textFill>
        </w:rPr>
        <w:t xml:space="preserve"> </w:t>
      </w:r>
    </w:p>
    <w:p>
      <w:pPr>
        <w:rPr>
          <w:b/>
          <w:bCs/>
          <w:color w:val="000000" w:themeColor="text1"/>
          <w:sz w:val="28"/>
          <w:szCs w:val="28"/>
          <w14:textFill>
            <w14:solidFill>
              <w14:schemeClr w14:val="tx1"/>
            </w14:solidFill>
          </w14:textFill>
        </w:rPr>
      </w:pPr>
    </w:p>
    <w:p>
      <w:pPr>
        <w:rPr>
          <w:b/>
          <w:bCs/>
          <w:color w:val="000000" w:themeColor="text1"/>
          <w:sz w:val="30"/>
          <w:szCs w:val="30"/>
          <w14:textFill>
            <w14:solidFill>
              <w14:schemeClr w14:val="tx1"/>
            </w14:solidFill>
          </w14:textFill>
        </w:rPr>
      </w:pPr>
    </w:p>
    <w:p>
      <w:pPr>
        <w:rPr>
          <w:b/>
          <w:bCs/>
          <w:color w:val="000000" w:themeColor="text1"/>
          <w:sz w:val="30"/>
          <w:szCs w:val="30"/>
          <w14:textFill>
            <w14:solidFill>
              <w14:schemeClr w14:val="tx1"/>
            </w14:solidFill>
          </w14:textFill>
        </w:rPr>
      </w:pPr>
    </w:p>
    <w:p>
      <w:pPr>
        <w:rPr>
          <w:b/>
          <w:bCs/>
          <w:color w:val="000000" w:themeColor="text1"/>
          <w:sz w:val="30"/>
          <w:szCs w:val="30"/>
          <w14:textFill>
            <w14:solidFill>
              <w14:schemeClr w14:val="tx1"/>
            </w14:solidFill>
          </w14:textFill>
        </w:rPr>
      </w:pPr>
    </w:p>
    <w:p>
      <w:pPr>
        <w:rPr>
          <w:b/>
          <w:bCs/>
          <w:color w:val="000000" w:themeColor="text1"/>
          <w:sz w:val="30"/>
          <w:szCs w:val="30"/>
          <w14:textFill>
            <w14:solidFill>
              <w14:schemeClr w14:val="tx1"/>
            </w14:solidFill>
          </w14:textFill>
        </w:rPr>
      </w:pPr>
    </w:p>
    <w:p>
      <w:pPr>
        <w:rPr>
          <w:b/>
          <w:bCs/>
          <w:color w:val="000000" w:themeColor="text1"/>
          <w:sz w:val="30"/>
          <w:szCs w:val="30"/>
          <w14:textFill>
            <w14:solidFill>
              <w14:schemeClr w14:val="tx1"/>
            </w14:solidFill>
          </w14:textFill>
        </w:rPr>
      </w:pPr>
    </w:p>
    <w:p>
      <w:pPr>
        <w:rPr>
          <w:b/>
          <w:bCs/>
          <w:color w:val="000000" w:themeColor="text1"/>
          <w:sz w:val="30"/>
          <w:szCs w:val="30"/>
          <w14:textFill>
            <w14:solidFill>
              <w14:schemeClr w14:val="tx1"/>
            </w14:solidFill>
          </w14:textFill>
        </w:rPr>
      </w:pPr>
    </w:p>
    <w:p>
      <w:pPr>
        <w:rPr>
          <w:b/>
          <w:bCs/>
          <w:color w:val="000000" w:themeColor="text1"/>
          <w:sz w:val="30"/>
          <w:szCs w:val="30"/>
          <w14:textFill>
            <w14:solidFill>
              <w14:schemeClr w14:val="tx1"/>
            </w14:solidFill>
          </w14:textFill>
        </w:rPr>
      </w:pPr>
    </w:p>
    <w:p>
      <w:pPr>
        <w:rPr>
          <w:b/>
          <w:bCs/>
          <w:color w:val="000000" w:themeColor="text1"/>
          <w:sz w:val="30"/>
          <w:szCs w:val="30"/>
          <w14:textFill>
            <w14:solidFill>
              <w14:schemeClr w14:val="tx1"/>
            </w14:solidFill>
          </w14:textFill>
        </w:rPr>
      </w:pPr>
    </w:p>
    <w:p>
      <w:pPr>
        <w:rPr>
          <w:b/>
          <w:bCs/>
          <w:color w:val="000000" w:themeColor="text1"/>
          <w:sz w:val="30"/>
          <w:szCs w:val="30"/>
          <w14:textFill>
            <w14:solidFill>
              <w14:schemeClr w14:val="tx1"/>
            </w14:solidFill>
          </w14:textFill>
        </w:rPr>
      </w:pPr>
    </w:p>
    <w:p>
      <w:pPr>
        <w:rPr>
          <w:b/>
          <w:bCs/>
          <w:color w:val="000000" w:themeColor="text1"/>
          <w:sz w:val="30"/>
          <w:szCs w:val="30"/>
          <w14:textFill>
            <w14:solidFill>
              <w14:schemeClr w14:val="tx1"/>
            </w14:solidFill>
          </w14:textFill>
        </w:rPr>
      </w:pPr>
    </w:p>
    <w:p>
      <w:pPr>
        <w:rPr>
          <w:b/>
          <w:bCs/>
          <w:color w:val="000000" w:themeColor="text1"/>
          <w:sz w:val="30"/>
          <w:szCs w:val="30"/>
          <w14:textFill>
            <w14:solidFill>
              <w14:schemeClr w14:val="tx1"/>
            </w14:solidFill>
          </w14:textFill>
        </w:rPr>
      </w:pPr>
    </w:p>
    <w:p>
      <w:pPr>
        <w:rPr>
          <w:b/>
          <w:bCs/>
          <w:color w:val="000000" w:themeColor="text1"/>
          <w:sz w:val="30"/>
          <w:szCs w:val="30"/>
          <w14:textFill>
            <w14:solidFill>
              <w14:schemeClr w14:val="tx1"/>
            </w14:solidFill>
          </w14:textFill>
        </w:rPr>
      </w:pPr>
    </w:p>
    <w:p>
      <w:pPr>
        <w:rPr>
          <w:b/>
          <w:bCs/>
          <w:color w:val="000000" w:themeColor="text1"/>
          <w:sz w:val="30"/>
          <w:szCs w:val="30"/>
          <w14:textFill>
            <w14:solidFill>
              <w14:schemeClr w14:val="tx1"/>
            </w14:solidFill>
          </w14:textFill>
        </w:rPr>
      </w:pPr>
    </w:p>
    <w:p>
      <w:pPr>
        <w:rPr>
          <w:b/>
          <w:bCs/>
          <w:color w:val="000000" w:themeColor="text1"/>
          <w:sz w:val="30"/>
          <w:szCs w:val="30"/>
          <w14:textFill>
            <w14:solidFill>
              <w14:schemeClr w14:val="tx1"/>
            </w14:solidFill>
          </w14:textFill>
        </w:rPr>
      </w:pPr>
    </w:p>
    <w:p>
      <w:pPr>
        <w:rPr>
          <w:b/>
          <w:bCs/>
          <w:color w:val="000000" w:themeColor="text1"/>
          <w:sz w:val="30"/>
          <w:szCs w:val="30"/>
          <w14:textFill>
            <w14:solidFill>
              <w14:schemeClr w14:val="tx1"/>
            </w14:solidFill>
          </w14:textFill>
        </w:rPr>
      </w:pPr>
    </w:p>
    <w:p>
      <w:pPr>
        <w:rPr>
          <w:b/>
          <w:bCs/>
          <w:color w:val="000000" w:themeColor="text1"/>
          <w:sz w:val="30"/>
          <w:szCs w:val="30"/>
          <w14:textFill>
            <w14:solidFill>
              <w14:schemeClr w14:val="tx1"/>
            </w14:solidFill>
          </w14:textFill>
        </w:rPr>
      </w:pPr>
    </w:p>
    <w:p>
      <w:pPr>
        <w:rPr>
          <w:b/>
          <w:bCs/>
          <w:color w:val="000000" w:themeColor="text1"/>
          <w:sz w:val="30"/>
          <w:szCs w:val="30"/>
          <w14:textFill>
            <w14:solidFill>
              <w14:schemeClr w14:val="tx1"/>
            </w14:solidFill>
          </w14:textFill>
        </w:rPr>
      </w:pPr>
    </w:p>
    <w:p>
      <w:pPr>
        <w:rPr>
          <w:b/>
          <w:bCs/>
          <w:color w:val="000000" w:themeColor="text1"/>
          <w:sz w:val="30"/>
          <w:szCs w:val="30"/>
          <w14:textFill>
            <w14:solidFill>
              <w14:schemeClr w14:val="tx1"/>
            </w14:solidFill>
          </w14:textFill>
        </w:rPr>
      </w:pPr>
    </w:p>
    <w:p>
      <w:pPr>
        <w:rPr>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附件1：</w:t>
      </w:r>
    </w:p>
    <w:p>
      <w:pPr>
        <w:jc w:val="center"/>
        <w:rPr>
          <w:b/>
          <w:bCs/>
          <w:sz w:val="32"/>
          <w:szCs w:val="32"/>
        </w:rPr>
      </w:pPr>
      <w:r>
        <w:rPr>
          <w:rFonts w:hint="eastAsia"/>
          <w:b/>
          <w:bCs/>
          <w:sz w:val="32"/>
          <w:szCs w:val="32"/>
        </w:rPr>
        <w:t>海南师范大学学报（自然科学版）签约发表协议</w:t>
      </w:r>
    </w:p>
    <w:p>
      <w:pPr>
        <w:spacing w:line="360" w:lineRule="auto"/>
        <w:ind w:firstLine="560" w:firstLineChars="200"/>
        <w:rPr>
          <w:sz w:val="28"/>
          <w:szCs w:val="28"/>
        </w:rPr>
      </w:pPr>
    </w:p>
    <w:p>
      <w:pPr>
        <w:spacing w:line="360" w:lineRule="auto"/>
        <w:ind w:firstLine="560" w:firstLineChars="200"/>
        <w:rPr>
          <w:sz w:val="28"/>
          <w:szCs w:val="28"/>
        </w:rPr>
      </w:pPr>
      <w:r>
        <w:rPr>
          <w:rFonts w:hint="eastAsia"/>
          <w:sz w:val="28"/>
          <w:szCs w:val="28"/>
        </w:rPr>
        <w:t>甲方：</w:t>
      </w:r>
    </w:p>
    <w:p>
      <w:pPr>
        <w:spacing w:line="360" w:lineRule="auto"/>
        <w:ind w:firstLine="560" w:firstLineChars="200"/>
        <w:rPr>
          <w:sz w:val="28"/>
          <w:szCs w:val="28"/>
        </w:rPr>
      </w:pPr>
      <w:r>
        <w:rPr>
          <w:rFonts w:hint="eastAsia"/>
          <w:sz w:val="28"/>
          <w:szCs w:val="28"/>
        </w:rPr>
        <w:t>乙方：海南师范大学学报（自然科学版）编辑部</w:t>
      </w:r>
    </w:p>
    <w:p>
      <w:pPr>
        <w:spacing w:line="360" w:lineRule="auto"/>
        <w:ind w:firstLine="560" w:firstLineChars="200"/>
        <w:rPr>
          <w:sz w:val="28"/>
          <w:szCs w:val="28"/>
        </w:rPr>
      </w:pPr>
    </w:p>
    <w:p>
      <w:pPr>
        <w:spacing w:line="360" w:lineRule="auto"/>
        <w:ind w:firstLine="560" w:firstLineChars="200"/>
        <w:rPr>
          <w:sz w:val="28"/>
          <w:szCs w:val="28"/>
        </w:rPr>
      </w:pPr>
      <w:r>
        <w:rPr>
          <w:rFonts w:hint="eastAsia"/>
          <w:sz w:val="28"/>
          <w:szCs w:val="28"/>
        </w:rPr>
        <w:t>为了回归学术研究的本原，营造良好的学术氛围，使学术成果的发布摆脱对商业期刊的依赖，学术期刊回归服务学术交流的属性；为破解我国基础研究选题在外、发表成果在外的“两头在外”问题提供有效实践，甲方和乙方经平等友好协商，达成本协议，旨在倡导学术机构行使对学术成果、特别是本单位学术成果的鉴定权和发布权。</w:t>
      </w:r>
    </w:p>
    <w:p>
      <w:pPr>
        <w:pStyle w:val="7"/>
        <w:numPr>
          <w:ilvl w:val="0"/>
          <w:numId w:val="2"/>
        </w:numPr>
        <w:spacing w:line="360" w:lineRule="auto"/>
        <w:ind w:firstLineChars="0"/>
        <w:rPr>
          <w:sz w:val="28"/>
          <w:szCs w:val="28"/>
        </w:rPr>
      </w:pPr>
      <w:r>
        <w:rPr>
          <w:rFonts w:hint="eastAsia"/>
          <w:sz w:val="28"/>
          <w:szCs w:val="28"/>
        </w:rPr>
        <w:t>甲方自愿成为乙方的签约作者。甲方承诺，自签约之日起，将其署名为第一作者或通讯作者的学术成果只投稿至乙方。</w:t>
      </w:r>
    </w:p>
    <w:p>
      <w:pPr>
        <w:pStyle w:val="7"/>
        <w:numPr>
          <w:ilvl w:val="0"/>
          <w:numId w:val="2"/>
        </w:numPr>
        <w:spacing w:line="360" w:lineRule="auto"/>
        <w:ind w:firstLineChars="0"/>
        <w:rPr>
          <w:sz w:val="28"/>
          <w:szCs w:val="28"/>
        </w:rPr>
      </w:pPr>
      <w:r>
        <w:rPr>
          <w:rFonts w:hint="eastAsia"/>
          <w:sz w:val="28"/>
          <w:szCs w:val="28"/>
        </w:rPr>
        <w:t>乙方承诺，按照期刊出版管理条例，第一时间发表甲方的学术成果。</w:t>
      </w:r>
    </w:p>
    <w:p>
      <w:pPr>
        <w:pStyle w:val="7"/>
        <w:numPr>
          <w:ilvl w:val="0"/>
          <w:numId w:val="2"/>
        </w:numPr>
        <w:spacing w:line="360" w:lineRule="auto"/>
        <w:ind w:firstLineChars="0"/>
        <w:rPr>
          <w:sz w:val="28"/>
          <w:szCs w:val="28"/>
        </w:rPr>
      </w:pPr>
      <w:r>
        <w:rPr>
          <w:rFonts w:hint="eastAsia"/>
          <w:sz w:val="28"/>
          <w:szCs w:val="28"/>
        </w:rPr>
        <w:t>甲方与乙方签约后一年内不得解约，自愿与乙方解约后一年内不得再次签约。</w:t>
      </w:r>
    </w:p>
    <w:p>
      <w:pPr>
        <w:pStyle w:val="7"/>
        <w:numPr>
          <w:ilvl w:val="0"/>
          <w:numId w:val="2"/>
        </w:numPr>
        <w:spacing w:line="360" w:lineRule="auto"/>
        <w:ind w:firstLineChars="0"/>
        <w:rPr>
          <w:sz w:val="28"/>
          <w:szCs w:val="28"/>
        </w:rPr>
      </w:pPr>
      <w:r>
        <w:rPr>
          <w:rFonts w:hint="eastAsia"/>
          <w:sz w:val="28"/>
          <w:szCs w:val="28"/>
        </w:rPr>
        <w:t>甲方存在以下情形之一者，经乙方审查确认后可取消其签约作者资格。</w:t>
      </w:r>
    </w:p>
    <w:p>
      <w:pPr>
        <w:numPr>
          <w:ilvl w:val="0"/>
          <w:numId w:val="3"/>
        </w:numPr>
        <w:spacing w:line="360" w:lineRule="auto"/>
        <w:rPr>
          <w:sz w:val="28"/>
          <w:szCs w:val="28"/>
        </w:rPr>
      </w:pPr>
      <w:r>
        <w:rPr>
          <w:rFonts w:hint="eastAsia"/>
          <w:sz w:val="28"/>
          <w:szCs w:val="28"/>
        </w:rPr>
        <w:t xml:space="preserve"> 存在违法乱纪行为；</w:t>
      </w:r>
    </w:p>
    <w:p>
      <w:pPr>
        <w:numPr>
          <w:ilvl w:val="0"/>
          <w:numId w:val="3"/>
        </w:numPr>
        <w:spacing w:line="360" w:lineRule="auto"/>
        <w:rPr>
          <w:sz w:val="28"/>
          <w:szCs w:val="28"/>
        </w:rPr>
      </w:pPr>
      <w:r>
        <w:rPr>
          <w:rFonts w:hint="eastAsia"/>
          <w:sz w:val="28"/>
          <w:szCs w:val="28"/>
        </w:rPr>
        <w:t xml:space="preserve"> 公开发表违反法律法规或社会公序良俗的言论；</w:t>
      </w:r>
    </w:p>
    <w:p>
      <w:pPr>
        <w:pStyle w:val="7"/>
        <w:numPr>
          <w:ilvl w:val="0"/>
          <w:numId w:val="3"/>
        </w:numPr>
        <w:spacing w:line="360" w:lineRule="auto"/>
        <w:ind w:firstLineChars="0"/>
        <w:rPr>
          <w:sz w:val="28"/>
          <w:szCs w:val="28"/>
        </w:rPr>
      </w:pPr>
      <w:r>
        <w:rPr>
          <w:rFonts w:hint="eastAsia"/>
          <w:sz w:val="28"/>
          <w:szCs w:val="28"/>
        </w:rPr>
        <w:t xml:space="preserve"> 存在严重违背学术道德或学术伦理的情况；</w:t>
      </w:r>
    </w:p>
    <w:p>
      <w:pPr>
        <w:pStyle w:val="7"/>
        <w:numPr>
          <w:ilvl w:val="0"/>
          <w:numId w:val="3"/>
        </w:numPr>
        <w:spacing w:line="360" w:lineRule="auto"/>
        <w:ind w:firstLineChars="0"/>
        <w:rPr>
          <w:sz w:val="28"/>
          <w:szCs w:val="28"/>
        </w:rPr>
      </w:pPr>
      <w:r>
        <w:rPr>
          <w:rFonts w:hint="eastAsia"/>
          <w:sz w:val="28"/>
          <w:szCs w:val="28"/>
        </w:rPr>
        <w:t xml:space="preserve"> 违背承诺，将其署名为第一作者或通讯作者的学术成果投稿至其他期刊。</w:t>
      </w:r>
    </w:p>
    <w:p>
      <w:pPr>
        <w:spacing w:line="360" w:lineRule="auto"/>
        <w:ind w:firstLine="560" w:firstLineChars="200"/>
        <w:rPr>
          <w:sz w:val="28"/>
          <w:szCs w:val="28"/>
        </w:rPr>
      </w:pPr>
      <w:r>
        <w:rPr>
          <w:rFonts w:hint="eastAsia"/>
          <w:sz w:val="28"/>
          <w:szCs w:val="28"/>
        </w:rPr>
        <w:t>5. 甲方稿件存在以下情形之一者，乙方应在附上具体审查意见之后予以退稿；甲方稿件屡次出现以下情形者，乙方向甲方书面说明后可取消其签约作者资格。</w:t>
      </w:r>
    </w:p>
    <w:p>
      <w:pPr>
        <w:pStyle w:val="7"/>
        <w:numPr>
          <w:ilvl w:val="0"/>
          <w:numId w:val="4"/>
        </w:numPr>
        <w:spacing w:line="360" w:lineRule="auto"/>
        <w:ind w:firstLineChars="0"/>
        <w:rPr>
          <w:sz w:val="28"/>
          <w:szCs w:val="28"/>
        </w:rPr>
      </w:pPr>
      <w:r>
        <w:rPr>
          <w:rFonts w:hint="eastAsia"/>
          <w:sz w:val="28"/>
          <w:szCs w:val="28"/>
        </w:rPr>
        <w:t>排版错乱严重，文字错误过多；</w:t>
      </w:r>
    </w:p>
    <w:p>
      <w:pPr>
        <w:pStyle w:val="7"/>
        <w:numPr>
          <w:ilvl w:val="0"/>
          <w:numId w:val="4"/>
        </w:numPr>
        <w:spacing w:line="360" w:lineRule="auto"/>
        <w:ind w:firstLineChars="0"/>
        <w:rPr>
          <w:sz w:val="28"/>
          <w:szCs w:val="28"/>
        </w:rPr>
      </w:pPr>
      <w:r>
        <w:rPr>
          <w:rFonts w:hint="eastAsia"/>
          <w:sz w:val="28"/>
          <w:szCs w:val="28"/>
        </w:rPr>
        <w:t>附图、附表等严重失真；</w:t>
      </w:r>
    </w:p>
    <w:p>
      <w:pPr>
        <w:pStyle w:val="7"/>
        <w:numPr>
          <w:ilvl w:val="0"/>
          <w:numId w:val="4"/>
        </w:numPr>
        <w:spacing w:line="360" w:lineRule="auto"/>
        <w:ind w:firstLineChars="0"/>
        <w:rPr>
          <w:sz w:val="28"/>
          <w:szCs w:val="28"/>
        </w:rPr>
      </w:pPr>
      <w:r>
        <w:rPr>
          <w:rFonts w:hint="eastAsia"/>
          <w:sz w:val="28"/>
          <w:szCs w:val="28"/>
        </w:rPr>
        <w:t>存在其他严重影响阅读的问题；</w:t>
      </w:r>
    </w:p>
    <w:p>
      <w:pPr>
        <w:pStyle w:val="7"/>
        <w:numPr>
          <w:ilvl w:val="0"/>
          <w:numId w:val="4"/>
        </w:numPr>
        <w:spacing w:line="360" w:lineRule="auto"/>
        <w:ind w:firstLineChars="0"/>
        <w:rPr>
          <w:sz w:val="28"/>
          <w:szCs w:val="28"/>
        </w:rPr>
      </w:pPr>
      <w:r>
        <w:rPr>
          <w:rFonts w:hint="eastAsia"/>
          <w:sz w:val="28"/>
          <w:szCs w:val="28"/>
        </w:rPr>
        <w:t>存在不适合公开发表的言论；</w:t>
      </w:r>
    </w:p>
    <w:p>
      <w:pPr>
        <w:pStyle w:val="7"/>
        <w:numPr>
          <w:ilvl w:val="0"/>
          <w:numId w:val="4"/>
        </w:numPr>
        <w:spacing w:line="360" w:lineRule="auto"/>
        <w:ind w:firstLineChars="0"/>
        <w:rPr>
          <w:sz w:val="28"/>
          <w:szCs w:val="28"/>
        </w:rPr>
      </w:pPr>
      <w:r>
        <w:rPr>
          <w:rFonts w:hint="eastAsia"/>
          <w:sz w:val="28"/>
          <w:szCs w:val="28"/>
        </w:rPr>
        <w:t>存在严重违背学术道德与学术伦理的情况；</w:t>
      </w:r>
    </w:p>
    <w:p>
      <w:pPr>
        <w:pStyle w:val="7"/>
        <w:numPr>
          <w:ilvl w:val="0"/>
          <w:numId w:val="4"/>
        </w:numPr>
        <w:spacing w:line="360" w:lineRule="auto"/>
        <w:ind w:firstLineChars="0"/>
        <w:rPr>
          <w:sz w:val="28"/>
          <w:szCs w:val="28"/>
        </w:rPr>
      </w:pPr>
      <w:r>
        <w:rPr>
          <w:rFonts w:hint="eastAsia"/>
          <w:sz w:val="28"/>
          <w:szCs w:val="28"/>
        </w:rPr>
        <w:t>存在明显违背科学常识的情形。</w:t>
      </w:r>
    </w:p>
    <w:p>
      <w:pPr>
        <w:spacing w:line="360" w:lineRule="auto"/>
        <w:ind w:firstLine="700" w:firstLineChars="250"/>
        <w:rPr>
          <w:sz w:val="28"/>
          <w:szCs w:val="28"/>
        </w:rPr>
      </w:pPr>
      <w:r>
        <w:rPr>
          <w:rFonts w:hint="eastAsia"/>
          <w:sz w:val="28"/>
          <w:szCs w:val="28"/>
        </w:rPr>
        <w:t>6. 对甲方在乙方发表的学术成果，经乙方或其他学术机构核查后认为存在严重违反学术道德与学术伦理行为的，应由乙方进行撤稿处理。</w:t>
      </w:r>
    </w:p>
    <w:p>
      <w:pPr>
        <w:spacing w:line="360" w:lineRule="auto"/>
        <w:ind w:firstLine="700" w:firstLineChars="250"/>
        <w:rPr>
          <w:sz w:val="28"/>
          <w:szCs w:val="28"/>
        </w:rPr>
      </w:pPr>
      <w:r>
        <w:rPr>
          <w:rFonts w:hint="eastAsia"/>
          <w:sz w:val="28"/>
          <w:szCs w:val="28"/>
        </w:rPr>
        <w:t>7. 本协议一式两份，甲、乙双方各持一份。本协议自双方签字之日起生效。当甲方自愿书面声明解约或者甲方出现本协议第4条中的情况，本协议立即失效终止。</w:t>
      </w:r>
    </w:p>
    <w:p>
      <w:pPr>
        <w:spacing w:line="360" w:lineRule="auto"/>
        <w:ind w:firstLine="700" w:firstLineChars="250"/>
        <w:rPr>
          <w:sz w:val="28"/>
          <w:szCs w:val="28"/>
        </w:rPr>
      </w:pPr>
      <w:r>
        <w:rPr>
          <w:rFonts w:hint="eastAsia"/>
          <w:sz w:val="28"/>
          <w:szCs w:val="28"/>
        </w:rPr>
        <w:t xml:space="preserve">8. 其他未及事宜，若发生问题，由双方协商解决。 </w:t>
      </w:r>
    </w:p>
    <w:p>
      <w:pPr>
        <w:spacing w:line="360" w:lineRule="auto"/>
        <w:ind w:left="4200" w:hanging="4200" w:hangingChars="1500"/>
        <w:rPr>
          <w:sz w:val="28"/>
          <w:szCs w:val="28"/>
        </w:rPr>
      </w:pPr>
      <w:r>
        <w:rPr>
          <w:rFonts w:hint="eastAsia"/>
          <w:sz w:val="28"/>
          <w:szCs w:val="28"/>
        </w:rPr>
        <w:t xml:space="preserve">甲   方： </w:t>
      </w:r>
      <w:r>
        <w:rPr>
          <w:sz w:val="28"/>
          <w:szCs w:val="28"/>
        </w:rPr>
        <w:tab/>
      </w:r>
      <w:r>
        <w:rPr>
          <w:rFonts w:hint="eastAsia"/>
          <w:sz w:val="28"/>
          <w:szCs w:val="28"/>
        </w:rPr>
        <w:t xml:space="preserve">  乙    方： 海南师范大学学报</w:t>
      </w:r>
      <w:r>
        <w:rPr>
          <w:rFonts w:hint="eastAsia"/>
          <w:sz w:val="28"/>
          <w:szCs w:val="28"/>
          <w:lang w:val="en-US" w:eastAsia="zh-CN"/>
        </w:rPr>
        <w:t xml:space="preserve">             </w:t>
      </w:r>
      <w:r>
        <w:rPr>
          <w:rFonts w:hint="eastAsia"/>
          <w:sz w:val="28"/>
          <w:szCs w:val="28"/>
        </w:rPr>
        <w:t>（自然科学版）编辑部</w:t>
      </w:r>
    </w:p>
    <w:p>
      <w:pPr>
        <w:spacing w:line="360" w:lineRule="auto"/>
        <w:rPr>
          <w:sz w:val="28"/>
          <w:szCs w:val="28"/>
        </w:rPr>
      </w:pPr>
      <w:r>
        <w:rPr>
          <w:rFonts w:hint="eastAsia"/>
          <w:sz w:val="28"/>
          <w:szCs w:val="28"/>
        </w:rPr>
        <w:t xml:space="preserve">                                乙方代表：</w:t>
      </w:r>
    </w:p>
    <w:p>
      <w:pPr>
        <w:spacing w:line="360" w:lineRule="auto"/>
        <w:rPr>
          <w:b/>
          <w:bCs/>
          <w:color w:val="000000" w:themeColor="text1"/>
          <w:sz w:val="30"/>
          <w:szCs w:val="30"/>
          <w14:textFill>
            <w14:solidFill>
              <w14:schemeClr w14:val="tx1"/>
            </w14:solidFill>
          </w14:textFill>
        </w:rPr>
      </w:pPr>
      <w:r>
        <w:rPr>
          <w:rFonts w:hint="eastAsia"/>
          <w:sz w:val="28"/>
          <w:szCs w:val="28"/>
        </w:rPr>
        <w:t xml:space="preserve">日期：      </w:t>
      </w:r>
      <w:r>
        <w:rPr>
          <w:sz w:val="28"/>
          <w:szCs w:val="28"/>
        </w:rPr>
        <w:tab/>
      </w:r>
      <w:r>
        <w:rPr>
          <w:sz w:val="28"/>
          <w:szCs w:val="28"/>
        </w:rPr>
        <w:tab/>
      </w:r>
      <w:r>
        <w:rPr>
          <w:sz w:val="28"/>
          <w:szCs w:val="28"/>
        </w:rPr>
        <w:tab/>
      </w:r>
      <w:r>
        <w:rPr>
          <w:sz w:val="28"/>
          <w:szCs w:val="28"/>
        </w:rPr>
        <w:tab/>
      </w:r>
      <w:r>
        <w:rPr>
          <w:sz w:val="28"/>
          <w:szCs w:val="28"/>
        </w:rPr>
        <w:tab/>
      </w:r>
      <w:r>
        <w:rPr>
          <w:rFonts w:hint="eastAsia"/>
          <w:sz w:val="28"/>
          <w:szCs w:val="28"/>
          <w:lang w:val="en-US" w:eastAsia="zh-CN"/>
        </w:rPr>
        <w:t xml:space="preserve">     </w:t>
      </w:r>
      <w:r>
        <w:rPr>
          <w:rFonts w:hint="eastAsia"/>
          <w:sz w:val="28"/>
          <w:szCs w:val="28"/>
        </w:rPr>
        <w:t xml:space="preserve">日期： </w:t>
      </w:r>
      <w:r>
        <w:rPr>
          <w:rFonts w:hint="eastAsia"/>
          <w:szCs w:val="21"/>
        </w:rPr>
        <w:t xml:space="preserve">  </w:t>
      </w:r>
    </w:p>
    <w:p>
      <w:pPr>
        <w:tabs>
          <w:tab w:val="left" w:pos="312"/>
        </w:tabs>
        <w:rPr>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附件2：</w:t>
      </w:r>
    </w:p>
    <w:p>
      <w:pPr>
        <w:tabs>
          <w:tab w:val="left" w:pos="312"/>
        </w:tabs>
        <w:rPr>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专家学术委员会名单（待补充）：</w:t>
      </w:r>
      <w:bookmarkStart w:id="0" w:name="_GoBack"/>
      <w:bookmarkEnd w:id="0"/>
    </w:p>
    <w:p>
      <w:pPr>
        <w:tabs>
          <w:tab w:val="left" w:pos="312"/>
        </w:tabs>
        <w:rPr>
          <w:rFonts w:hint="eastAsia"/>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1.郑  波  云南大学教授（统计与复杂物理，杰青、长江）</w:t>
      </w:r>
    </w:p>
    <w:p>
      <w:pPr>
        <w:tabs>
          <w:tab w:val="left" w:pos="312"/>
        </w:tabs>
        <w:rPr>
          <w:rFonts w:hint="eastAsia"/>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2.蔡庆宇 海南大学教授（引力与宇宙学，杰青）</w:t>
      </w:r>
    </w:p>
    <w:p>
      <w:pPr>
        <w:tabs>
          <w:tab w:val="left" w:pos="312"/>
        </w:tabs>
        <w:rPr>
          <w:rFonts w:hint="eastAsia"/>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3.李  勇  海南大学教授（光学，优青）</w:t>
      </w:r>
    </w:p>
    <w:p>
      <w:pPr>
        <w:tabs>
          <w:tab w:val="left" w:pos="312"/>
        </w:tabs>
        <w:rPr>
          <w:rFonts w:hint="eastAsia"/>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4.吴普训 湖南师范大学教授（引力与宇宙学，优青）</w:t>
      </w:r>
    </w:p>
    <w:p>
      <w:pPr>
        <w:tabs>
          <w:tab w:val="left" w:pos="312"/>
        </w:tabs>
        <w:rPr>
          <w:rFonts w:hint="eastAsia"/>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5.张永平 上海大学教授（冷原子物理，青千）</w:t>
      </w:r>
    </w:p>
    <w:p>
      <w:pPr>
        <w:tabs>
          <w:tab w:val="left" w:pos="312"/>
        </w:tabs>
        <w:rPr>
          <w:rFonts w:hint="eastAsia"/>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6.曲  轶  海南师范大学研究员 （光学，国家百千万人才工程入选）</w:t>
      </w:r>
    </w:p>
    <w:p>
      <w:pPr>
        <w:tabs>
          <w:tab w:val="left" w:pos="312"/>
        </w:tabs>
        <w:rPr>
          <w:rFonts w:hint="eastAsia"/>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7.谢琼涛 海南师范大学教授 （理论物理，非线性光学）</w:t>
      </w:r>
    </w:p>
    <w:p>
      <w:pPr>
        <w:tabs>
          <w:tab w:val="left" w:pos="312"/>
        </w:tabs>
        <w:rPr>
          <w:rFonts w:hint="eastAsia"/>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8.沈振江 海南师范大学教授 （凝聚态物理）</w:t>
      </w:r>
    </w:p>
    <w:p>
      <w:pPr>
        <w:tabs>
          <w:tab w:val="left" w:pos="312"/>
        </w:tabs>
        <w:rPr>
          <w:rFonts w:hint="eastAsia"/>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9.孙  丽 海南师范大学教授  （凝聚态物理）</w:t>
      </w:r>
    </w:p>
    <w:p>
      <w:pPr>
        <w:tabs>
          <w:tab w:val="left" w:pos="312"/>
        </w:tabs>
        <w:rPr>
          <w:bCs/>
          <w:color w:val="000000" w:themeColor="text1"/>
          <w:sz w:val="30"/>
          <w:szCs w:val="30"/>
          <w14:textFill>
            <w14:solidFill>
              <w14:schemeClr w14:val="tx1"/>
            </w14:solidFill>
          </w14:textFill>
        </w:rPr>
      </w:pPr>
    </w:p>
    <w:p>
      <w:pPr>
        <w:tabs>
          <w:tab w:val="left" w:pos="312"/>
        </w:tabs>
        <w:rPr>
          <w:bCs/>
          <w:color w:val="000000" w:themeColor="text1"/>
          <w:sz w:val="30"/>
          <w:szCs w:val="30"/>
          <w14:textFill>
            <w14:solidFill>
              <w14:schemeClr w14:val="tx1"/>
            </w14:solidFill>
          </w14:textFill>
        </w:rPr>
      </w:pPr>
    </w:p>
    <w:p>
      <w:pPr>
        <w:tabs>
          <w:tab w:val="left" w:pos="312"/>
        </w:tabs>
        <w:rPr>
          <w:bCs/>
          <w:color w:val="000000" w:themeColor="text1"/>
          <w:sz w:val="30"/>
          <w:szCs w:val="30"/>
          <w14:textFill>
            <w14:solidFill>
              <w14:schemeClr w14:val="tx1"/>
            </w14:solidFill>
          </w14:textFill>
        </w:rPr>
      </w:pPr>
    </w:p>
    <w:p>
      <w:pPr>
        <w:tabs>
          <w:tab w:val="left" w:pos="312"/>
        </w:tabs>
        <w:rPr>
          <w:bCs/>
          <w:color w:val="000000" w:themeColor="text1"/>
          <w:sz w:val="30"/>
          <w:szCs w:val="30"/>
          <w14:textFill>
            <w14:solidFill>
              <w14:schemeClr w14:val="tx1"/>
            </w14:solidFill>
          </w14:textFill>
        </w:rPr>
      </w:pPr>
    </w:p>
    <w:p>
      <w:pPr>
        <w:tabs>
          <w:tab w:val="left" w:pos="312"/>
        </w:tabs>
        <w:rPr>
          <w:bCs/>
          <w:color w:val="000000" w:themeColor="text1"/>
          <w:sz w:val="30"/>
          <w:szCs w:val="30"/>
          <w14:textFill>
            <w14:solidFill>
              <w14:schemeClr w14:val="tx1"/>
            </w14:solidFill>
          </w14:textFill>
        </w:rPr>
      </w:pPr>
    </w:p>
    <w:p>
      <w:pPr>
        <w:tabs>
          <w:tab w:val="left" w:pos="312"/>
        </w:tabs>
        <w:rPr>
          <w:bCs/>
          <w:color w:val="000000" w:themeColor="text1"/>
          <w:sz w:val="30"/>
          <w:szCs w:val="30"/>
          <w14:textFill>
            <w14:solidFill>
              <w14:schemeClr w14:val="tx1"/>
            </w14:solidFill>
          </w14:textFill>
        </w:rPr>
      </w:pPr>
    </w:p>
    <w:p>
      <w:pPr>
        <w:tabs>
          <w:tab w:val="left" w:pos="312"/>
        </w:tabs>
        <w:rPr>
          <w:bCs/>
          <w:color w:val="000000" w:themeColor="text1"/>
          <w:sz w:val="30"/>
          <w:szCs w:val="30"/>
          <w14:textFill>
            <w14:solidFill>
              <w14:schemeClr w14:val="tx1"/>
            </w14:solidFill>
          </w14:textFill>
        </w:rPr>
      </w:pPr>
    </w:p>
    <w:p>
      <w:pPr>
        <w:tabs>
          <w:tab w:val="left" w:pos="312"/>
        </w:tabs>
        <w:rPr>
          <w:bCs/>
          <w:color w:val="000000" w:themeColor="text1"/>
          <w:sz w:val="30"/>
          <w:szCs w:val="30"/>
          <w14:textFill>
            <w14:solidFill>
              <w14:schemeClr w14:val="tx1"/>
            </w14:solidFill>
          </w14:textFill>
        </w:rPr>
      </w:pPr>
    </w:p>
    <w:p>
      <w:pPr>
        <w:tabs>
          <w:tab w:val="left" w:pos="312"/>
        </w:tabs>
        <w:rPr>
          <w:bCs/>
          <w:color w:val="000000" w:themeColor="text1"/>
          <w:sz w:val="30"/>
          <w:szCs w:val="30"/>
          <w14:textFill>
            <w14:solidFill>
              <w14:schemeClr w14:val="tx1"/>
            </w14:solidFill>
          </w14:textFill>
        </w:rPr>
      </w:pPr>
    </w:p>
    <w:p>
      <w:pPr>
        <w:tabs>
          <w:tab w:val="left" w:pos="312"/>
        </w:tabs>
        <w:rPr>
          <w:bCs/>
          <w:color w:val="000000" w:themeColor="text1"/>
          <w:sz w:val="30"/>
          <w:szCs w:val="30"/>
          <w14:textFill>
            <w14:solidFill>
              <w14:schemeClr w14:val="tx1"/>
            </w14:solidFill>
          </w14:textFill>
        </w:rPr>
      </w:pPr>
    </w:p>
    <w:p>
      <w:pPr>
        <w:tabs>
          <w:tab w:val="left" w:pos="312"/>
        </w:tabs>
        <w:rPr>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附件3：</w:t>
      </w:r>
    </w:p>
    <w:p>
      <w:pPr>
        <w:rPr>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签约作者名单</w:t>
      </w:r>
      <w:r>
        <w:rPr>
          <w:rFonts w:hint="eastAsia"/>
          <w:bCs/>
          <w:color w:val="auto"/>
          <w:sz w:val="30"/>
          <w:szCs w:val="30"/>
        </w:rPr>
        <w:t>（待补充）</w:t>
      </w:r>
      <w:r>
        <w:rPr>
          <w:rFonts w:hint="eastAsia"/>
          <w:bCs/>
          <w:color w:val="000000" w:themeColor="text1"/>
          <w:sz w:val="30"/>
          <w:szCs w:val="30"/>
          <w14:textFill>
            <w14:solidFill>
              <w14:schemeClr w14:val="tx1"/>
            </w14:solidFill>
          </w14:textFill>
        </w:rPr>
        <w:t>：</w:t>
      </w:r>
    </w:p>
    <w:p>
      <w:pPr>
        <w:numPr>
          <w:ilvl w:val="0"/>
          <w:numId w:val="5"/>
        </w:numPr>
        <w:rPr>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陈相松 海南师范大学 校长 教授 （签约时间2023.10.24）</w:t>
      </w:r>
    </w:p>
    <w:p>
      <w:pPr>
        <w:numPr>
          <w:ilvl w:val="0"/>
          <w:numId w:val="5"/>
        </w:numPr>
        <w:rPr>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谢琼涛 海南师范大学物理与电子工程学院 副院长 教授 （签约时间2023.10.24）</w:t>
      </w:r>
    </w:p>
    <w:p>
      <w:pPr>
        <w:numPr>
          <w:ilvl w:val="0"/>
          <w:numId w:val="5"/>
        </w:numPr>
        <w:rPr>
          <w:bCs/>
          <w:color w:val="000000" w:themeColor="text1"/>
          <w:sz w:val="30"/>
          <w:szCs w:val="30"/>
          <w14:textFill>
            <w14:solidFill>
              <w14:schemeClr w14:val="tx1"/>
            </w14:solidFill>
          </w14:textFill>
        </w:rPr>
      </w:pPr>
      <w:r>
        <w:rPr>
          <w:rFonts w:hint="eastAsia"/>
          <w:bCs/>
          <w:color w:val="000000" w:themeColor="text1"/>
          <w:sz w:val="30"/>
          <w:szCs w:val="30"/>
          <w14:textFill>
            <w14:solidFill>
              <w14:schemeClr w14:val="tx1"/>
            </w14:solidFill>
          </w14:textFill>
        </w:rPr>
        <w:t>钟承尧 海南师范大学物理与电子工程学院 教授 （签约时间2023.10.24）</w:t>
      </w:r>
    </w:p>
    <w:p>
      <w:pPr>
        <w:tabs>
          <w:tab w:val="left" w:pos="312"/>
        </w:tabs>
        <w:rPr>
          <w:bCs/>
          <w:color w:val="000000" w:themeColor="text1"/>
          <w:sz w:val="30"/>
          <w:szCs w:val="30"/>
          <w14:textFill>
            <w14:solidFill>
              <w14:schemeClr w14:val="tx1"/>
            </w14:solidFill>
          </w14:textFill>
        </w:rPr>
      </w:pPr>
    </w:p>
    <w:p>
      <w:pPr>
        <w:tabs>
          <w:tab w:val="left" w:pos="312"/>
        </w:tabs>
        <w:rPr>
          <w:bCs/>
          <w:color w:val="000000" w:themeColor="text1"/>
          <w:sz w:val="30"/>
          <w:szCs w:val="30"/>
          <w14:textFill>
            <w14:solidFill>
              <w14:schemeClr w14:val="tx1"/>
            </w14:solidFill>
          </w14:textFill>
        </w:rPr>
      </w:pPr>
    </w:p>
    <w:p>
      <w:pPr>
        <w:tabs>
          <w:tab w:val="left" w:pos="312"/>
        </w:tabs>
        <w:rPr>
          <w:bCs/>
          <w:color w:val="000000" w:themeColor="text1"/>
          <w:sz w:val="30"/>
          <w:szCs w:val="30"/>
          <w14:textFill>
            <w14:solidFill>
              <w14:schemeClr w14:val="tx1"/>
            </w14:solidFill>
          </w14:textFill>
        </w:rPr>
      </w:pPr>
    </w:p>
    <w:p>
      <w:pPr>
        <w:tabs>
          <w:tab w:val="left" w:pos="312"/>
        </w:tabs>
        <w:rPr>
          <w:bCs/>
          <w:color w:val="000000" w:themeColor="text1"/>
          <w:sz w:val="30"/>
          <w:szCs w:val="30"/>
          <w14:textFill>
            <w14:solidFill>
              <w14:schemeClr w14:val="tx1"/>
            </w14:solidFill>
          </w14:textFill>
        </w:rPr>
      </w:pPr>
    </w:p>
    <w:p>
      <w:pPr>
        <w:tabs>
          <w:tab w:val="left" w:pos="312"/>
        </w:tabs>
        <w:rPr>
          <w:bCs/>
          <w:color w:val="000000" w:themeColor="text1"/>
          <w:sz w:val="30"/>
          <w:szCs w:val="30"/>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B097B"/>
    <w:multiLevelType w:val="singleLevel"/>
    <w:tmpl w:val="012B097B"/>
    <w:lvl w:ilvl="0" w:tentative="0">
      <w:start w:val="1"/>
      <w:numFmt w:val="decimal"/>
      <w:lvlText w:val="%1)"/>
      <w:lvlJc w:val="left"/>
      <w:pPr>
        <w:ind w:left="1470" w:hanging="420"/>
      </w:pPr>
      <w:rPr>
        <w:color w:val="auto"/>
      </w:rPr>
    </w:lvl>
  </w:abstractNum>
  <w:abstractNum w:abstractNumId="1">
    <w:nsid w:val="02EC38F0"/>
    <w:multiLevelType w:val="multilevel"/>
    <w:tmpl w:val="02EC38F0"/>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2024B99E"/>
    <w:multiLevelType w:val="singleLevel"/>
    <w:tmpl w:val="2024B99E"/>
    <w:lvl w:ilvl="0" w:tentative="0">
      <w:start w:val="1"/>
      <w:numFmt w:val="decimal"/>
      <w:lvlText w:val="%1."/>
      <w:lvlJc w:val="left"/>
      <w:pPr>
        <w:tabs>
          <w:tab w:val="left" w:pos="312"/>
        </w:tabs>
      </w:pPr>
    </w:lvl>
  </w:abstractNum>
  <w:abstractNum w:abstractNumId="3">
    <w:nsid w:val="3A3BB99B"/>
    <w:multiLevelType w:val="singleLevel"/>
    <w:tmpl w:val="3A3BB99B"/>
    <w:lvl w:ilvl="0" w:tentative="0">
      <w:start w:val="1"/>
      <w:numFmt w:val="decimal"/>
      <w:lvlText w:val="%1."/>
      <w:lvlJc w:val="left"/>
      <w:pPr>
        <w:tabs>
          <w:tab w:val="left" w:pos="312"/>
        </w:tabs>
      </w:pPr>
    </w:lvl>
  </w:abstractNum>
  <w:abstractNum w:abstractNumId="4">
    <w:nsid w:val="66174AC3"/>
    <w:multiLevelType w:val="multilevel"/>
    <w:tmpl w:val="66174AC3"/>
    <w:lvl w:ilvl="0" w:tentative="0">
      <w:start w:val="1"/>
      <w:numFmt w:val="decimal"/>
      <w:lvlText w:val="%1)"/>
      <w:lvlJc w:val="left"/>
      <w:pPr>
        <w:ind w:left="1515" w:hanging="360"/>
      </w:pPr>
      <w:rPr>
        <w:rFonts w:hint="default"/>
      </w:rPr>
    </w:lvl>
    <w:lvl w:ilvl="1" w:tentative="0">
      <w:start w:val="1"/>
      <w:numFmt w:val="lowerLetter"/>
      <w:lvlText w:val="%2)"/>
      <w:lvlJc w:val="left"/>
      <w:pPr>
        <w:ind w:left="1995" w:hanging="420"/>
      </w:pPr>
    </w:lvl>
    <w:lvl w:ilvl="2" w:tentative="0">
      <w:start w:val="1"/>
      <w:numFmt w:val="lowerRoman"/>
      <w:lvlText w:val="%3."/>
      <w:lvlJc w:val="right"/>
      <w:pPr>
        <w:ind w:left="2415" w:hanging="420"/>
      </w:pPr>
    </w:lvl>
    <w:lvl w:ilvl="3" w:tentative="0">
      <w:start w:val="1"/>
      <w:numFmt w:val="decimal"/>
      <w:lvlText w:val="%4."/>
      <w:lvlJc w:val="left"/>
      <w:pPr>
        <w:ind w:left="2835" w:hanging="420"/>
      </w:pPr>
    </w:lvl>
    <w:lvl w:ilvl="4" w:tentative="0">
      <w:start w:val="1"/>
      <w:numFmt w:val="lowerLetter"/>
      <w:lvlText w:val="%5)"/>
      <w:lvlJc w:val="left"/>
      <w:pPr>
        <w:ind w:left="3255" w:hanging="420"/>
      </w:pPr>
    </w:lvl>
    <w:lvl w:ilvl="5" w:tentative="0">
      <w:start w:val="1"/>
      <w:numFmt w:val="lowerRoman"/>
      <w:lvlText w:val="%6."/>
      <w:lvlJc w:val="right"/>
      <w:pPr>
        <w:ind w:left="3675" w:hanging="420"/>
      </w:pPr>
    </w:lvl>
    <w:lvl w:ilvl="6" w:tentative="0">
      <w:start w:val="1"/>
      <w:numFmt w:val="decimal"/>
      <w:lvlText w:val="%7."/>
      <w:lvlJc w:val="left"/>
      <w:pPr>
        <w:ind w:left="4095" w:hanging="420"/>
      </w:pPr>
    </w:lvl>
    <w:lvl w:ilvl="7" w:tentative="0">
      <w:start w:val="1"/>
      <w:numFmt w:val="lowerLetter"/>
      <w:lvlText w:val="%8)"/>
      <w:lvlJc w:val="left"/>
      <w:pPr>
        <w:ind w:left="4515" w:hanging="420"/>
      </w:pPr>
    </w:lvl>
    <w:lvl w:ilvl="8" w:tentative="0">
      <w:start w:val="1"/>
      <w:numFmt w:val="lowerRoman"/>
      <w:lvlText w:val="%9."/>
      <w:lvlJc w:val="right"/>
      <w:pPr>
        <w:ind w:left="4935" w:hanging="42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iNjg3ZDg1NjMxODY2NTYzMzNjMzQ2MGRlMWYwNjAifQ=="/>
  </w:docVars>
  <w:rsids>
    <w:rsidRoot w:val="5F194B79"/>
    <w:rsid w:val="001A2062"/>
    <w:rsid w:val="001A24E9"/>
    <w:rsid w:val="0033440D"/>
    <w:rsid w:val="003638CF"/>
    <w:rsid w:val="00363DEB"/>
    <w:rsid w:val="004064C3"/>
    <w:rsid w:val="00410E18"/>
    <w:rsid w:val="00411085"/>
    <w:rsid w:val="004539EB"/>
    <w:rsid w:val="004A5E50"/>
    <w:rsid w:val="00530C97"/>
    <w:rsid w:val="00545E5C"/>
    <w:rsid w:val="00550347"/>
    <w:rsid w:val="005A3E0B"/>
    <w:rsid w:val="005C3E82"/>
    <w:rsid w:val="005C630B"/>
    <w:rsid w:val="006030C8"/>
    <w:rsid w:val="006531DB"/>
    <w:rsid w:val="006803A8"/>
    <w:rsid w:val="006C5E52"/>
    <w:rsid w:val="007600E7"/>
    <w:rsid w:val="007C4104"/>
    <w:rsid w:val="00812836"/>
    <w:rsid w:val="00827B28"/>
    <w:rsid w:val="008E3C13"/>
    <w:rsid w:val="009A6188"/>
    <w:rsid w:val="00A01F19"/>
    <w:rsid w:val="00A46DE1"/>
    <w:rsid w:val="00A55CA9"/>
    <w:rsid w:val="00A66770"/>
    <w:rsid w:val="00B228E6"/>
    <w:rsid w:val="00BF5EF1"/>
    <w:rsid w:val="00C6475F"/>
    <w:rsid w:val="00CA4C10"/>
    <w:rsid w:val="00D23D01"/>
    <w:rsid w:val="00ED60A4"/>
    <w:rsid w:val="00FB1BE9"/>
    <w:rsid w:val="00FF14D5"/>
    <w:rsid w:val="1293001F"/>
    <w:rsid w:val="14D63104"/>
    <w:rsid w:val="1B3A75C2"/>
    <w:rsid w:val="38C95227"/>
    <w:rsid w:val="3B6A0E45"/>
    <w:rsid w:val="4F391107"/>
    <w:rsid w:val="5A5907CA"/>
    <w:rsid w:val="5F194B79"/>
    <w:rsid w:val="673468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uiPriority w:val="0"/>
    <w:rPr>
      <w:color w:val="0026E5" w:themeColor="hyperlink"/>
      <w:u w:val="single"/>
      <w14:textFill>
        <w14:solidFill>
          <w14:schemeClr w14:val="hlink"/>
        </w14:solidFill>
      </w14:textFill>
    </w:rPr>
  </w:style>
  <w:style w:type="paragraph" w:styleId="7">
    <w:name w:val="List Paragraph"/>
    <w:basedOn w:val="1"/>
    <w:unhideWhenUsed/>
    <w:uiPriority w:val="99"/>
    <w:pPr>
      <w:ind w:firstLine="420" w:firstLineChars="200"/>
    </w:pPr>
  </w:style>
  <w:style w:type="character" w:customStyle="1" w:styleId="8">
    <w:name w:val="页眉 Char"/>
    <w:basedOn w:val="5"/>
    <w:link w:val="3"/>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275</Words>
  <Characters>1571</Characters>
  <Lines>13</Lines>
  <Paragraphs>3</Paragraphs>
  <TotalTime>2</TotalTime>
  <ScaleCrop>false</ScaleCrop>
  <LinksUpToDate>false</LinksUpToDate>
  <CharactersWithSpaces>1843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2023-10-30T08:46:00Z</dcterms:created>
  <dc:creator>kart y</dc:creator>
  <cp:lastModifiedBy>book0898</cp:lastModifiedBy>
  <dcterms:modified xsi:type="dcterms:W3CDTF">2023-12-01T13:59:04Z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CB30C551F1F54976A857188C7A9B2543_13</vt:lpwstr>
  </property>
</Properties>
</file>